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A1" w:rsidRPr="00305E28" w:rsidRDefault="00894AA1" w:rsidP="00505354">
      <w:pPr>
        <w:pStyle w:val="NormalWeb"/>
        <w:rPr>
          <w:i/>
          <w:sz w:val="22"/>
          <w:szCs w:val="22"/>
        </w:rPr>
      </w:pPr>
    </w:p>
    <w:p w:rsidR="00505354" w:rsidRPr="00D91A92" w:rsidRDefault="00505354" w:rsidP="00505354">
      <w:pPr>
        <w:jc w:val="center"/>
        <w:rPr>
          <w:b/>
        </w:rPr>
      </w:pPr>
      <w:r w:rsidRPr="00D91A92">
        <w:rPr>
          <w:b/>
        </w:rPr>
        <w:t>The Old Jail Art Center</w:t>
      </w:r>
    </w:p>
    <w:p w:rsidR="00505354" w:rsidRPr="00D91A92" w:rsidRDefault="00505354" w:rsidP="00505354">
      <w:pPr>
        <w:jc w:val="center"/>
        <w:rPr>
          <w:b/>
        </w:rPr>
      </w:pPr>
      <w:r w:rsidRPr="00D91A92">
        <w:rPr>
          <w:b/>
        </w:rPr>
        <w:t>The Grace Leech Family Art Scholarship</w:t>
      </w:r>
    </w:p>
    <w:p w:rsidR="00505354" w:rsidRPr="00305E28" w:rsidRDefault="00505354" w:rsidP="00505354">
      <w:pPr>
        <w:pStyle w:val="NormalWeb"/>
        <w:rPr>
          <w:sz w:val="22"/>
          <w:szCs w:val="22"/>
        </w:rPr>
      </w:pPr>
      <w:r w:rsidRPr="00305E28">
        <w:rPr>
          <w:i/>
          <w:sz w:val="22"/>
          <w:szCs w:val="22"/>
        </w:rPr>
        <w:t xml:space="preserve">The Grace Leech Family Art Scholarship </w:t>
      </w:r>
      <w:r w:rsidRPr="00305E28">
        <w:rPr>
          <w:sz w:val="22"/>
          <w:szCs w:val="22"/>
        </w:rPr>
        <w:t xml:space="preserve">was established by educator and philanthropic leader Valleau Wilkie, Jr. in honor of Grace Leech and her family. The scholarship is available to students who plan to attend college </w:t>
      </w:r>
      <w:r>
        <w:rPr>
          <w:sz w:val="22"/>
          <w:szCs w:val="22"/>
        </w:rPr>
        <w:t xml:space="preserve">to pursue studies in </w:t>
      </w:r>
      <w:r w:rsidRPr="00305E28">
        <w:rPr>
          <w:sz w:val="22"/>
          <w:szCs w:val="22"/>
        </w:rPr>
        <w:t>art or art history</w:t>
      </w:r>
    </w:p>
    <w:p w:rsidR="00505354" w:rsidRPr="00305E28" w:rsidRDefault="00505354" w:rsidP="00505354">
      <w:pPr>
        <w:pStyle w:val="NormalWeb"/>
        <w:rPr>
          <w:rStyle w:val="Strong"/>
          <w:sz w:val="22"/>
          <w:szCs w:val="22"/>
        </w:rPr>
      </w:pPr>
      <w:r w:rsidRPr="00305E28">
        <w:rPr>
          <w:sz w:val="22"/>
          <w:szCs w:val="22"/>
        </w:rPr>
        <w:t xml:space="preserve">The scholarship is available to graduating seniors attending rural high schools served by the </w:t>
      </w:r>
      <w:r w:rsidRPr="00305E28">
        <w:rPr>
          <w:i/>
          <w:sz w:val="22"/>
          <w:szCs w:val="22"/>
        </w:rPr>
        <w:t>Region 14 Educational Service Center</w:t>
      </w:r>
      <w:r w:rsidRPr="00305E28">
        <w:rPr>
          <w:sz w:val="22"/>
          <w:szCs w:val="22"/>
        </w:rPr>
        <w:t xml:space="preserve"> with graduating classes of 150 students or less. Eligibility considerations will include academic achievement, field of study, and need.</w:t>
      </w:r>
    </w:p>
    <w:p w:rsidR="00505354" w:rsidRPr="00305E28" w:rsidRDefault="00505354" w:rsidP="00505354">
      <w:pPr>
        <w:pStyle w:val="NormalWeb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To be considered fully complete</w:t>
      </w:r>
      <w:r w:rsidRPr="00305E28">
        <w:rPr>
          <w:rStyle w:val="Strong"/>
          <w:sz w:val="22"/>
          <w:szCs w:val="22"/>
        </w:rPr>
        <w:t>, scholarship applications must contain the following:</w:t>
      </w:r>
    </w:p>
    <w:p w:rsidR="00505354" w:rsidRPr="00305E28" w:rsidRDefault="00505354" w:rsidP="0050535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rStyle w:val="Strong"/>
          <w:sz w:val="22"/>
          <w:szCs w:val="22"/>
        </w:rPr>
        <w:t>S</w:t>
      </w:r>
      <w:r w:rsidRPr="00305E28">
        <w:rPr>
          <w:rStyle w:val="Strong"/>
          <w:sz w:val="22"/>
          <w:szCs w:val="22"/>
        </w:rPr>
        <w:t>igned application form (typewritten or in legible dark ink)</w:t>
      </w:r>
      <w:r w:rsidRPr="00305E28">
        <w:rPr>
          <w:sz w:val="22"/>
          <w:szCs w:val="22"/>
        </w:rPr>
        <w:t xml:space="preserve"> </w:t>
      </w:r>
    </w:p>
    <w:p w:rsidR="00505354" w:rsidRPr="00305E28" w:rsidRDefault="00505354" w:rsidP="00505354">
      <w:pPr>
        <w:numPr>
          <w:ilvl w:val="0"/>
          <w:numId w:val="1"/>
        </w:numPr>
        <w:spacing w:before="100" w:beforeAutospacing="1" w:after="100" w:afterAutospacing="1"/>
        <w:rPr>
          <w:rStyle w:val="Strong"/>
          <w:b w:val="0"/>
          <w:bCs w:val="0"/>
          <w:sz w:val="22"/>
          <w:szCs w:val="22"/>
        </w:rPr>
      </w:pPr>
      <w:r w:rsidRPr="00305E28">
        <w:rPr>
          <w:rStyle w:val="Strong"/>
          <w:sz w:val="22"/>
          <w:szCs w:val="22"/>
        </w:rPr>
        <w:t>Transcript with fall semester grades</w:t>
      </w:r>
    </w:p>
    <w:p w:rsidR="00505354" w:rsidRPr="00305E28" w:rsidRDefault="00505354" w:rsidP="0050535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05E28">
        <w:rPr>
          <w:rStyle w:val="Strong"/>
          <w:sz w:val="22"/>
          <w:szCs w:val="22"/>
        </w:rPr>
        <w:t>College transcript if student is enrolled in concurrent college courses</w:t>
      </w:r>
      <w:r w:rsidRPr="00305E28">
        <w:rPr>
          <w:sz w:val="22"/>
          <w:szCs w:val="22"/>
        </w:rPr>
        <w:t xml:space="preserve"> </w:t>
      </w:r>
    </w:p>
    <w:p w:rsidR="00505354" w:rsidRPr="00305E28" w:rsidRDefault="00505354" w:rsidP="00505354">
      <w:pPr>
        <w:numPr>
          <w:ilvl w:val="0"/>
          <w:numId w:val="1"/>
        </w:numPr>
        <w:spacing w:before="100" w:beforeAutospacing="1" w:after="100" w:afterAutospacing="1"/>
        <w:rPr>
          <w:rStyle w:val="Strong"/>
          <w:b w:val="0"/>
          <w:bCs w:val="0"/>
          <w:sz w:val="22"/>
          <w:szCs w:val="22"/>
        </w:rPr>
      </w:pPr>
      <w:r w:rsidRPr="00305E28">
        <w:rPr>
          <w:rStyle w:val="Strong"/>
          <w:sz w:val="22"/>
          <w:szCs w:val="22"/>
        </w:rPr>
        <w:t>At least two letter</w:t>
      </w:r>
      <w:r>
        <w:rPr>
          <w:rStyle w:val="Strong"/>
          <w:sz w:val="22"/>
          <w:szCs w:val="22"/>
        </w:rPr>
        <w:t>s</w:t>
      </w:r>
      <w:r w:rsidRPr="00305E28">
        <w:rPr>
          <w:rStyle w:val="Strong"/>
          <w:sz w:val="22"/>
          <w:szCs w:val="22"/>
        </w:rPr>
        <w:t xml:space="preserve"> of recommendation, but not more than three</w:t>
      </w:r>
    </w:p>
    <w:p w:rsidR="00505354" w:rsidRPr="00305E28" w:rsidRDefault="00505354" w:rsidP="00505354">
      <w:pPr>
        <w:numPr>
          <w:ilvl w:val="0"/>
          <w:numId w:val="1"/>
        </w:numPr>
        <w:spacing w:before="100" w:beforeAutospacing="1" w:after="100" w:afterAutospacing="1"/>
        <w:rPr>
          <w:rStyle w:val="Strong"/>
          <w:b w:val="0"/>
          <w:bCs w:val="0"/>
          <w:sz w:val="22"/>
          <w:szCs w:val="22"/>
        </w:rPr>
      </w:pPr>
      <w:r w:rsidRPr="00305E28">
        <w:rPr>
          <w:rStyle w:val="Strong"/>
          <w:sz w:val="22"/>
          <w:szCs w:val="22"/>
        </w:rPr>
        <w:t>A short essay (300 words)</w:t>
      </w:r>
      <w:r>
        <w:rPr>
          <w:rStyle w:val="Strong"/>
          <w:sz w:val="22"/>
          <w:szCs w:val="22"/>
        </w:rPr>
        <w:t xml:space="preserve"> </w:t>
      </w:r>
      <w:r w:rsidRPr="00564880">
        <w:rPr>
          <w:b/>
          <w:sz w:val="22"/>
          <w:szCs w:val="22"/>
        </w:rPr>
        <w:t>on why you want to study art and what you hope to accomplish when you graduate.</w:t>
      </w:r>
    </w:p>
    <w:p w:rsidR="00505354" w:rsidRPr="00305E28" w:rsidRDefault="00505354" w:rsidP="00505354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The two-year scholarship will be awarded to one (1) recipient each year for a total of $4,000. The award will be split equally between the first and second academic years ($2,000 each year). The annual distribution will be </w:t>
      </w:r>
      <w:r w:rsidRPr="00305E28">
        <w:rPr>
          <w:sz w:val="22"/>
          <w:szCs w:val="22"/>
        </w:rPr>
        <w:t>divided into two parts: the first $1,500 for tuition will be paid directly to the institution, and the remaining $500 paid to the recipient who will consult with the committee about its use for books, supplies, transportation or tuition. The committee will be responsible for approving a second year of funding depending on satisfactory performance. Failure to meet the minimum academic standard (2.5</w:t>
      </w:r>
      <w:r>
        <w:rPr>
          <w:sz w:val="22"/>
          <w:szCs w:val="22"/>
        </w:rPr>
        <w:t xml:space="preserve"> GPA</w:t>
      </w:r>
      <w:r w:rsidRPr="00305E28">
        <w:rPr>
          <w:sz w:val="22"/>
          <w:szCs w:val="22"/>
        </w:rPr>
        <w:t>) in the first year places the second year of the scholarship in jeopardy.</w:t>
      </w:r>
      <w:r>
        <w:rPr>
          <w:sz w:val="22"/>
          <w:szCs w:val="22"/>
        </w:rPr>
        <w:t xml:space="preserve"> </w:t>
      </w:r>
    </w:p>
    <w:p w:rsidR="00505354" w:rsidRPr="002F2AD5" w:rsidRDefault="00505354" w:rsidP="00505354">
      <w:pPr>
        <w:spacing w:before="100" w:beforeAutospacing="1" w:after="100" w:afterAutospacing="1"/>
        <w:rPr>
          <w:color w:val="FF0000"/>
          <w:sz w:val="22"/>
          <w:szCs w:val="22"/>
        </w:rPr>
      </w:pPr>
      <w:r w:rsidRPr="002F2AD5">
        <w:rPr>
          <w:color w:val="FF0000"/>
          <w:sz w:val="22"/>
          <w:szCs w:val="22"/>
        </w:rPr>
        <w:t xml:space="preserve">Grant </w:t>
      </w:r>
      <w:r w:rsidRPr="002F2AD5">
        <w:rPr>
          <w:bCs/>
          <w:color w:val="FF0000"/>
          <w:sz w:val="22"/>
          <w:szCs w:val="22"/>
        </w:rPr>
        <w:t>applications should be postmarked</w:t>
      </w:r>
      <w:r w:rsidRPr="002F2AD5">
        <w:rPr>
          <w:color w:val="FF0000"/>
          <w:sz w:val="22"/>
          <w:szCs w:val="22"/>
        </w:rPr>
        <w:t xml:space="preserve"> no later than </w:t>
      </w:r>
      <w:r w:rsidRPr="002F2AD5">
        <w:rPr>
          <w:b/>
          <w:color w:val="FF0000"/>
          <w:sz w:val="22"/>
          <w:szCs w:val="22"/>
        </w:rPr>
        <w:t xml:space="preserve">May </w:t>
      </w:r>
      <w:r w:rsidR="004467C3">
        <w:rPr>
          <w:b/>
          <w:color w:val="FF0000"/>
          <w:sz w:val="22"/>
          <w:szCs w:val="22"/>
        </w:rPr>
        <w:t>11</w:t>
      </w:r>
      <w:r w:rsidRPr="002F2AD5">
        <w:rPr>
          <w:color w:val="FF0000"/>
          <w:sz w:val="22"/>
          <w:szCs w:val="22"/>
        </w:rPr>
        <w:t xml:space="preserve"> or earlier and mailed to the address listed below. Recipients will be notified </w:t>
      </w:r>
      <w:r w:rsidR="00D9609F" w:rsidRPr="002F2AD5">
        <w:rPr>
          <w:color w:val="FF0000"/>
          <w:sz w:val="22"/>
          <w:szCs w:val="22"/>
        </w:rPr>
        <w:t>b</w:t>
      </w:r>
      <w:r w:rsidR="004467C3">
        <w:rPr>
          <w:color w:val="FF0000"/>
          <w:sz w:val="22"/>
          <w:szCs w:val="22"/>
        </w:rPr>
        <w:t>y letter of the award by June 1</w:t>
      </w:r>
      <w:r w:rsidRPr="002F2AD5">
        <w:rPr>
          <w:color w:val="FF0000"/>
          <w:sz w:val="22"/>
          <w:szCs w:val="22"/>
        </w:rPr>
        <w:t xml:space="preserve">. </w:t>
      </w:r>
    </w:p>
    <w:p w:rsidR="00505354" w:rsidRPr="00477203" w:rsidRDefault="00505354" w:rsidP="00505354">
      <w:pPr>
        <w:spacing w:before="100" w:beforeAutospacing="1" w:after="100" w:afterAutospacing="1"/>
        <w:rPr>
          <w:sz w:val="22"/>
          <w:szCs w:val="22"/>
        </w:rPr>
      </w:pPr>
      <w:r w:rsidRPr="00477203">
        <w:rPr>
          <w:sz w:val="22"/>
          <w:szCs w:val="22"/>
        </w:rPr>
        <w:t>Upon notice of being awarded a scholarship, the student is required to execute and comply with a Scholarship Agreement. Failure to comply with any provision of the Scholarship Agreement may result in termination of the award as determined by the committee.</w:t>
      </w:r>
      <w:r>
        <w:rPr>
          <w:sz w:val="22"/>
          <w:szCs w:val="22"/>
        </w:rPr>
        <w:t xml:space="preserve"> </w:t>
      </w:r>
      <w:r w:rsidRPr="00477203">
        <w:rPr>
          <w:sz w:val="22"/>
          <w:szCs w:val="22"/>
        </w:rPr>
        <w:t>Recipient must enroll as a full-time student (minimum of 12 hours) for the duration of the scholarship period.</w:t>
      </w:r>
    </w:p>
    <w:p w:rsidR="00505354" w:rsidRPr="00305E28" w:rsidRDefault="00505354" w:rsidP="00505354">
      <w:pPr>
        <w:pStyle w:val="NormalWeb"/>
        <w:rPr>
          <w:sz w:val="22"/>
          <w:szCs w:val="22"/>
        </w:rPr>
      </w:pPr>
      <w:r w:rsidRPr="00305E28">
        <w:rPr>
          <w:sz w:val="22"/>
          <w:szCs w:val="22"/>
        </w:rPr>
        <w:t xml:space="preserve">After acceptance/enrollment documentation is provided to the committee, scholarship awards are disbursed directly to the college or university, and the student.  It is the recipient’s responsibility to ensure that the committee </w:t>
      </w:r>
      <w:r>
        <w:rPr>
          <w:sz w:val="22"/>
          <w:szCs w:val="22"/>
        </w:rPr>
        <w:t>receives proof of enrollment each semester.</w:t>
      </w:r>
    </w:p>
    <w:p w:rsidR="00505354" w:rsidRDefault="00505354" w:rsidP="00505354">
      <w:pPr>
        <w:pStyle w:val="NormalWeb"/>
        <w:rPr>
          <w:sz w:val="22"/>
          <w:szCs w:val="22"/>
        </w:rPr>
      </w:pPr>
      <w:r w:rsidRPr="00305E28">
        <w:rPr>
          <w:sz w:val="22"/>
          <w:szCs w:val="22"/>
        </w:rPr>
        <w:t xml:space="preserve">A recipient can receive </w:t>
      </w:r>
      <w:r w:rsidRPr="00305E28">
        <w:rPr>
          <w:i/>
          <w:sz w:val="22"/>
          <w:szCs w:val="22"/>
        </w:rPr>
        <w:t>The Grace Leech Family Art Scholarship</w:t>
      </w:r>
      <w:r w:rsidRPr="00305E28">
        <w:rPr>
          <w:sz w:val="22"/>
          <w:szCs w:val="22"/>
        </w:rPr>
        <w:t xml:space="preserve"> in addition to other grants and scholarships provided 1) the scholarship is still needed to cover allowed expenses and 2) the recipient does not receive a full athletic or academic scholarship.</w:t>
      </w:r>
    </w:p>
    <w:p w:rsidR="00505354" w:rsidRPr="00D91A92" w:rsidRDefault="00505354" w:rsidP="00505354">
      <w:pPr>
        <w:rPr>
          <w:sz w:val="22"/>
          <w:szCs w:val="22"/>
        </w:rPr>
      </w:pPr>
      <w:r w:rsidRPr="00D91A92">
        <w:rPr>
          <w:sz w:val="22"/>
          <w:szCs w:val="22"/>
        </w:rPr>
        <w:t>The Grace Leech Family Art Scholarship Committee</w:t>
      </w:r>
    </w:p>
    <w:p w:rsidR="00505354" w:rsidRPr="001208C9" w:rsidRDefault="00505354">
      <w:pPr>
        <w:rPr>
          <w:sz w:val="22"/>
        </w:rPr>
      </w:pPr>
      <w:r w:rsidRPr="001208C9">
        <w:rPr>
          <w:sz w:val="22"/>
        </w:rPr>
        <w:t>C/O</w:t>
      </w:r>
      <w:r w:rsidR="002F2AD5">
        <w:rPr>
          <w:sz w:val="22"/>
        </w:rPr>
        <w:t xml:space="preserve"> OJAC Education Director</w:t>
      </w:r>
      <w:r w:rsidRPr="001208C9">
        <w:rPr>
          <w:sz w:val="22"/>
        </w:rPr>
        <w:t>, 201 South Second Street, Albany, TX  76430</w:t>
      </w:r>
    </w:p>
    <w:sectPr w:rsidR="00505354" w:rsidRPr="00120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1473"/>
    <w:multiLevelType w:val="multilevel"/>
    <w:tmpl w:val="76F8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stylePaneSortMethod w:val="0000"/>
  <w:defaultTabStop w:val="720"/>
  <w:characterSpacingControl w:val="doNotCompress"/>
  <w:compat/>
  <w:rsids>
    <w:rsidRoot w:val="00BC486D"/>
    <w:rsid w:val="002102CB"/>
    <w:rsid w:val="002F2AD5"/>
    <w:rsid w:val="004467C3"/>
    <w:rsid w:val="00505354"/>
    <w:rsid w:val="00894AA1"/>
    <w:rsid w:val="00D9609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C486D"/>
    <w:pPr>
      <w:spacing w:before="100" w:beforeAutospacing="1" w:after="100" w:afterAutospacing="1"/>
    </w:pPr>
  </w:style>
  <w:style w:type="character" w:styleId="Strong">
    <w:name w:val="Strong"/>
    <w:qFormat/>
    <w:rsid w:val="00BC486D"/>
    <w:rPr>
      <w:b/>
      <w:bCs/>
    </w:rPr>
  </w:style>
  <w:style w:type="character" w:styleId="Hyperlink">
    <w:name w:val="Hyperlink"/>
    <w:rsid w:val="00A30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Old Jail Art Center</vt:lpstr>
    </vt:vector>
  </TitlesOfParts>
  <Company>Old Jail Art Center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Old Jail Art Center</dc:title>
  <dc:creator>Director</dc:creator>
  <cp:lastModifiedBy>Dee Dee Waggoner</cp:lastModifiedBy>
  <cp:revision>2</cp:revision>
  <cp:lastPrinted>2012-07-16T19:28:00Z</cp:lastPrinted>
  <dcterms:created xsi:type="dcterms:W3CDTF">2018-03-21T12:33:00Z</dcterms:created>
  <dcterms:modified xsi:type="dcterms:W3CDTF">2018-03-21T12:33:00Z</dcterms:modified>
</cp:coreProperties>
</file>